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WildRide sutarties teisinė ir įgyvendinimo atmintinė</w:t>
      </w:r>
    </w:p>
    <w:p>
      <w:pPr>
        <w:pStyle w:val="Subtitle"/>
      </w:pPr>
      <w:r>
        <w:t>Nuomotojui ir programuotojui  |  Patikrinta 2026 m. rugsėjo 12 d.</w:t>
      </w:r>
    </w:p>
    <w:p>
      <w:r>
        <w:t>Parengtas sutarties projektas su elektroninio užsakymo eiga, 200 € atsakomybės riba ir sąlyginiais reikalavimais dėl 100 € bei 500 € netesybų. Jis negarantuoja laimėto ginčo. Prieš komercinį naudojimą Lietuvos advokatas turėtų įvertinti konkrečius keturračius, draudimą, maršrutus ir netesybų ekonominį pagrindimą. Reikia užpildyti tikrąjį Nuomotoją; „WildRide“ pavadinimas ir pavyzdiniai svetainės kontaktai to nepakeičia.</w:t>
      </w:r>
    </w:p>
    <w:p>
      <w:pPr>
        <w:pStyle w:val="Heading1"/>
      </w:pPr>
      <w:r>
        <w:t>1 Esminės išvados dėl sumų</w:t>
      </w:r>
    </w:p>
    <w:tbl>
      <w:tblPr>
        <w:tblW w:type="auto" w:w="0"/>
        <w:tblLayout w:type="fixed"/>
        <w:tblLook w:firstColumn="1" w:firstRow="1" w:lastColumn="0" w:lastRow="0" w:noHBand="0" w:noVBand="1" w:val="04A0"/>
      </w:tblPr>
      <w:tblGrid>
        <w:gridCol w:w="3312"/>
        <w:gridCol w:w="3312"/>
        <w:gridCol w:w="3312"/>
      </w:tblGrid>
      <w:tr>
        <w:trPr>
          <w:cantSplit/>
          <w:tblHeader/>
        </w:trPr>
        <w:tc>
          <w:tcPr>
            <w:tcW w:type="dxa" w:w="1440"/>
            <w:tcBorders>
              <w:top w:val="single" w:sz="4" w:color="D9D9D9"/>
              <w:left w:val="single" w:sz="4" w:color="D9D9D9"/>
              <w:bottom w:val="single" w:sz="4" w:color="D9D9D9"/>
              <w:right w:val="single" w:sz="4" w:color="D9D9D9"/>
            </w:tcBorders>
            <w:tcMar>
              <w:top w:w="95" w:type="dxa"/>
              <w:bottom w:w="95" w:type="dxa"/>
              <w:left w:w="95" w:type="dxa"/>
              <w:right w:w="95" w:type="dxa"/>
            </w:tcMar>
            <w:shd w:fill="27332B"/>
          </w:tcPr>
          <w:p>
            <w:pPr>
              <w:spacing w:after="60"/>
            </w:pPr>
            <w:r>
              <w:rPr>
                <w:b/>
                <w:color w:val="FFFFFF"/>
                <w:sz w:val="20"/>
              </w:rPr>
              <w:t>Sąlyga</w:t>
            </w:r>
          </w:p>
        </w:tc>
        <w:tc>
          <w:tcPr>
            <w:tcW w:type="dxa" w:w="4320"/>
            <w:tcBorders>
              <w:top w:val="single" w:sz="4" w:color="D9D9D9"/>
              <w:left w:val="single" w:sz="4" w:color="D9D9D9"/>
              <w:bottom w:val="single" w:sz="4" w:color="D9D9D9"/>
              <w:right w:val="single" w:sz="4" w:color="D9D9D9"/>
            </w:tcBorders>
            <w:tcMar>
              <w:top w:w="95" w:type="dxa"/>
              <w:bottom w:w="95" w:type="dxa"/>
              <w:left w:w="95" w:type="dxa"/>
              <w:right w:w="95" w:type="dxa"/>
            </w:tcMar>
            <w:shd w:fill="27332B"/>
          </w:tcPr>
          <w:p>
            <w:pPr>
              <w:spacing w:after="60"/>
            </w:pPr>
            <w:r>
              <w:rPr>
                <w:b/>
                <w:color w:val="FFFFFF"/>
                <w:sz w:val="20"/>
              </w:rPr>
              <w:t>Kaip parengta</w:t>
            </w:r>
          </w:p>
        </w:tc>
        <w:tc>
          <w:tcPr>
            <w:tcW w:type="dxa" w:w="4176"/>
            <w:tcBorders>
              <w:top w:val="single" w:sz="4" w:color="D9D9D9"/>
              <w:left w:val="single" w:sz="4" w:color="D9D9D9"/>
              <w:bottom w:val="single" w:sz="4" w:color="D9D9D9"/>
              <w:right w:val="single" w:sz="4" w:color="D9D9D9"/>
            </w:tcBorders>
            <w:tcMar>
              <w:top w:w="95" w:type="dxa"/>
              <w:bottom w:w="95" w:type="dxa"/>
              <w:left w:w="95" w:type="dxa"/>
              <w:right w:w="95" w:type="dxa"/>
            </w:tcMar>
            <w:shd w:fill="27332B"/>
          </w:tcPr>
          <w:p>
            <w:pPr>
              <w:spacing w:after="60"/>
            </w:pPr>
            <w:r>
              <w:rPr>
                <w:b/>
                <w:color w:val="FFFFFF"/>
                <w:sz w:val="20"/>
              </w:rPr>
              <w:t>Likusi rizika</w:t>
            </w:r>
          </w:p>
        </w:tc>
      </w:tr>
      <w:tr>
        <w:trPr>
          <w:cantSplit/>
        </w:trPr>
        <w:tc>
          <w:tcPr>
            <w:tcW w:type="dxa" w:w="1440"/>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t>200 €</w:t>
            </w:r>
          </w:p>
        </w:tc>
        <w:tc>
          <w:tcPr>
            <w:tcW w:type="dxa" w:w="4320"/>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t>Įrodyta žala iki 200 € vienam keturračiui vienam įvykiui, kai paprastas neatsargumas.</w:t>
            </w:r>
          </w:p>
        </w:tc>
        <w:tc>
          <w:tcPr>
            <w:tcW w:type="dxa" w:w="4176"/>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t>Tai nėra garantuota draudimo apsauga. Tyčios ar didelio neatsargumo riboti negalima.</w:t>
            </w:r>
          </w:p>
        </w:tc>
      </w:tr>
      <w:tr>
        <w:trPr>
          <w:cantSplit/>
        </w:trPr>
        <w:tc>
          <w:tcPr>
            <w:tcW w:type="dxa" w:w="1440"/>
            <w:tcBorders>
              <w:top w:val="single" w:sz="4" w:color="D9D9D9"/>
              <w:left w:val="single" w:sz="4" w:color="D9D9D9"/>
              <w:bottom w:val="single" w:sz="4" w:color="D9D9D9"/>
              <w:right w:val="single" w:sz="4" w:color="D9D9D9"/>
            </w:tcBorders>
            <w:tcMar>
              <w:top w:w="95" w:type="dxa"/>
              <w:bottom w:w="95" w:type="dxa"/>
              <w:left w:w="95" w:type="dxa"/>
              <w:right w:w="95" w:type="dxa"/>
            </w:tcMar>
            <w:shd w:fill="F2F3F2"/>
          </w:tcPr>
          <w:p>
            <w:pPr>
              <w:spacing w:after="60"/>
            </w:pPr>
            <w:r>
              <w:rPr>
                <w:sz w:val="20"/>
              </w:rPr>
              <w:t>100 €</w:t>
            </w:r>
          </w:p>
        </w:tc>
        <w:tc>
          <w:tcPr>
            <w:tcW w:type="dxa" w:w="4320"/>
            <w:tcBorders>
              <w:top w:val="single" w:sz="4" w:color="D9D9D9"/>
              <w:left w:val="single" w:sz="4" w:color="D9D9D9"/>
              <w:bottom w:val="single" w:sz="4" w:color="D9D9D9"/>
              <w:right w:val="single" w:sz="4" w:color="D9D9D9"/>
            </w:tcBorders>
            <w:tcMar>
              <w:top w:w="95" w:type="dxa"/>
              <w:bottom w:w="95" w:type="dxa"/>
              <w:left w:w="95" w:type="dxa"/>
              <w:right w:w="95" w:type="dxa"/>
            </w:tcMar>
            <w:shd w:fill="F2F3F2"/>
          </w:tcPr>
          <w:p>
            <w:pPr>
              <w:spacing w:after="60"/>
            </w:pPr>
            <w:r>
              <w:rPr>
                <w:sz w:val="20"/>
              </w:rPr>
              <w:t>Reikalavimas tik dėl tyčinio žinomo apgadinimo nuslėpimo.</w:t>
            </w:r>
          </w:p>
        </w:tc>
        <w:tc>
          <w:tcPr>
            <w:tcW w:type="dxa" w:w="4176"/>
            <w:tcBorders>
              <w:top w:val="single" w:sz="4" w:color="D9D9D9"/>
              <w:left w:val="single" w:sz="4" w:color="D9D9D9"/>
              <w:bottom w:val="single" w:sz="4" w:color="D9D9D9"/>
              <w:right w:val="single" w:sz="4" w:color="D9D9D9"/>
            </w:tcBorders>
            <w:tcMar>
              <w:top w:w="95" w:type="dxa"/>
              <w:bottom w:w="95" w:type="dxa"/>
              <w:left w:w="95" w:type="dxa"/>
              <w:right w:w="95" w:type="dxa"/>
            </w:tcMar>
            <w:shd w:fill="F2F3F2"/>
          </w:tcPr>
          <w:p>
            <w:pPr>
              <w:spacing w:after="60"/>
            </w:pPr>
            <w:r>
              <w:rPr>
                <w:sz w:val="20"/>
              </w:rPr>
              <w:t>Reikia įrodyti žinojimą ir tyčią; abstrakti bauda už nepranešimą gali būti nesąžininga.</w:t>
            </w:r>
          </w:p>
        </w:tc>
      </w:tr>
      <w:tr>
        <w:trPr>
          <w:cantSplit/>
        </w:trPr>
        <w:tc>
          <w:tcPr>
            <w:tcW w:type="dxa" w:w="1440"/>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t>500 €</w:t>
            </w:r>
          </w:p>
        </w:tc>
        <w:tc>
          <w:tcPr>
            <w:tcW w:type="dxa" w:w="4320"/>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t>Reikalavimas tik dėl įrodyto faktinio vairavimo apsvaigus.</w:t>
            </w:r>
          </w:p>
        </w:tc>
        <w:tc>
          <w:tcPr>
            <w:tcW w:type="dxa" w:w="4176"/>
            <w:tcBorders>
              <w:top w:val="single" w:sz="4" w:color="D9D9D9"/>
              <w:left w:val="single" w:sz="4" w:color="D9D9D9"/>
              <w:bottom w:val="single" w:sz="4" w:color="D9D9D9"/>
              <w:right w:val="single" w:sz="4" w:color="D9D9D9"/>
            </w:tcBorders>
            <w:tcMar>
              <w:top w:w="95" w:type="dxa"/>
              <w:bottom w:w="95" w:type="dxa"/>
              <w:left w:w="95" w:type="dxa"/>
              <w:right w:w="95" w:type="dxa"/>
            </w:tcMar>
            <w:shd w:fill="FFFFFF"/>
          </w:tcPr>
          <w:p>
            <w:pPr>
              <w:spacing w:after="60"/>
            </w:pPr>
            <w:r>
              <w:rPr>
                <w:sz w:val="20"/>
              </w:rPr>
              <w:t>Didelė nesąžiningumo ir neproporcingumo rizika. Įtarimas ar atvykimas apsvaigus nepakanka.</w:t>
            </w:r>
          </w:p>
        </w:tc>
      </w:tr>
    </w:tbl>
    <w:p/>
    <w:p>
      <w:r>
        <w:t>CK 6.72 reikalauja rašytinio susitarimo dėl netesybų. CK 6.73 numato jų įskaitymą į nuostolius ir galimą sumažinimą. CK 6.228⁴ leidžia nesąžiningą vartojimo sąlygą pripažinti negaliojančia nuo sutarties sudarymo. Tai nėra vien pažadas sumažinti per didelę sumą. Vartotojo varnelė, paryškintas tekstas ar frazė „su viskuo sutinku“ šios kontrolės nepanaikina. [1–4]</w:t>
      </w:r>
    </w:p>
    <w:p>
      <w:r>
        <w:t>Mano vertinimu, saugesnė alternatyva, jei negalite pagrįsti 100 € ir 500 € dydžių, yra išvis atsisakyti fiksuotų netesybų ir reikalauti dokumentais pagrįstų nuostolių. Dabartiniame projekte sumos paliktos pagal užduotį, bet neįvardijamos kaip automatiškai išieškotinos. Neįrašyta, kad jos individualiai suderėtos ar iš anksto pripažintos protingomis. [1–4]</w:t>
      </w:r>
    </w:p>
    <w:p>
      <w:r>
        <w:t>200 € neturi tapti minimaliu remonto mokesčiu. Pavyzdžiui, įrodyta 80 € žala reiškia iki 80 €, o 900 € paprasto neatsargumo žala pagal pasirinktą modelį reiškia iki 200 €. Nuomotojas pats prisiima likusią dalį, jeigu jos neatlygina tinkamas draudimas. Tyčios, didelio neatsargumo ir žalos sveikatai atvejais galioja CK 6.252 apribojimai. Negalima automatiškai visko sumuoti į 200 + 100 + 500 € reikalavimą. [2,5]</w:t>
      </w:r>
    </w:p>
    <w:p>
      <w:pPr>
        <w:pStyle w:val="Heading1"/>
      </w:pPr>
      <w:r>
        <w:t>2 Kas būtina prieš paleidžiant mokamus užsakymus</w:t>
      </w:r>
    </w:p>
    <w:p>
      <w:pPr>
        <w:pStyle w:val="ListBullet"/>
      </w:pPr>
      <w:r>
        <w:t>Užpildyti Nuomotojo teisinį pavadinimą, kodą arba veiklos registraciją, adresą ir patikimus kontaktus. Nenaudoti kitos įmonės rekvizitų vien dėl bendro savininko.</w:t>
      </w:r>
    </w:p>
    <w:p>
      <w:pPr>
        <w:pStyle w:val="ListBullet"/>
      </w:pPr>
      <w:r>
        <w:t>Patikrinti kiekvieno keturračio registracijos klasę, reikiamą vairavimo kategoriją, techninės apžiūros bei draudimo pareigas ir leistiną keleivių vežimą. Visiems modeliams pažadėti vienodas B kategorijos taisykles nepakanka.</w:t>
      </w:r>
    </w:p>
    <w:p>
      <w:pPr>
        <w:pStyle w:val="ListBullet"/>
      </w:pPr>
      <w:r>
        <w:t>Gauti draudiko patvirtinimą dėl komercinės nuomos, važiavimo be palydos, bekelės, keleivių, panardinimo ir kitų išimčių. Užrašyti tikrąją franšizę ir aiškiai atskirti draudiko apsaugą nuo nuomotojo suteikiamos 200 € atsakomybės ribos.</w:t>
      </w:r>
    </w:p>
    <w:p>
      <w:pPr>
        <w:pStyle w:val="ListBullet"/>
      </w:pPr>
      <w:r>
        <w:t>Patikrinti teisę naudotis maršrutais ir teritorijomis. Sutartis neįteisina važiavimo saugomose buveinėse ar per svetimą žemę be pagrindo.</w:t>
      </w:r>
    </w:p>
    <w:p>
      <w:pPr>
        <w:pStyle w:val="ListBullet"/>
      </w:pPr>
      <w:r>
        <w:t>Parengti 100 € ir 500 € dydžių pagrindimą iš realių atkūrimo, transportavimo, darbuotojų darbo ir kitų susijusių kaštų. Nei suma, nei vien didelė teorinė nelaimės rizika neįrodo automatinio tokios sąlygos sąžiningumo.</w:t>
      </w:r>
    </w:p>
    <w:p>
      <w:pPr>
        <w:pStyle w:val="ListBullet"/>
      </w:pPr>
      <w:r>
        <w:t>Pradinio „DX“ mygtuko nelaikyti nei sutarties sutikimu, nei asmens tapatybės įrodymu. Komercinei versijai rekomenduojama jį pašalinti; makete jis išlikęs pagal ankstesnį prašymą.</w:t>
      </w:r>
    </w:p>
    <w:p>
      <w:pPr>
        <w:pStyle w:val="Heading1"/>
      </w:pPr>
      <w:r>
        <w:t>3 Elektroninio sutikimo ir įrodymų eiga</w:t>
      </w:r>
    </w:p>
    <w:p>
      <w:r>
        <w:t>Vardas ir pavardė bei nepažymėta sutikimo varnelė yra tik proceso dalis. eIDAS 25 straipsnis neleidžia atmesti elektroninio parašo vien dėl jo formos, tačiau būtent kvalifikuotas elektroninis parašas prilyginamas ranka rašytam. Paprasta varnelė ar SMS patvirtinimas savaime netampa kvalifikuotu parašu. Dėl numatytų netesybų praktiškai stipresnis pasirinkimas yra kvalifikuotas pasirašymas arba papildomas pasirašymas vietoje, kiekvienam vairuotojui atskirai. [3,6]</w:t>
      </w:r>
    </w:p>
    <w:p>
      <w:pPr>
        <w:pStyle w:val="ListBullet"/>
      </w:pPr>
      <w:r>
        <w:t>Prieš mokėjimą rodyti tikrąjį Nuomotoją, konkrečios paslaugos datą, laiką, vietą, trukmę, kiekį, palydą, bendrą kainą ir galimus papildomus mokėjimus. Mokama palyda negali būti pažymėta iš anksto. [7]</w:t>
      </w:r>
    </w:p>
    <w:p>
      <w:pPr>
        <w:pStyle w:val="ListBullet"/>
      </w:pPr>
      <w:r>
        <w:t>Suteikti galimybę perskaityti ir išsisaugoti visą sutartį, pataisyti duomenis, atskirai pažymėti sutikimą. Galutinis mygtukas: „Užsakymas su prievole sumokėti“. [7]</w:t>
      </w:r>
    </w:p>
    <w:p>
      <w:pPr>
        <w:pStyle w:val="ListBullet"/>
      </w:pPr>
      <w:r>
        <w:t>Patikimoje serverio sistemoje išsaugoti užsakymo ID, tikslų tekstą ir redakciją, jo kontrolinę sumą, sutikimo įvykį ir serverio laiką, tapatybės patvirtinimo ryšį, mokėjimo operacijos ID ir sutarties kopijos pristatymo įrašą. IP adresas ar kontrolinė suma atskirai neįrodo nei asmens, nei jo valios.</w:t>
      </w:r>
    </w:p>
    <w:p>
      <w:pPr>
        <w:pStyle w:val="ListBullet"/>
      </w:pPr>
      <w:r>
        <w:t>Išsiųsti pilną sutarties ir užsakymo kopiją el. paštu kaip išsaugomą dokumentą. Vien nuorodos į vėliau keičiamą svetainę nepakanka patvarios kopijos logikai. Išsaugoti senas redakcijas. [7]</w:t>
      </w:r>
    </w:p>
    <w:p>
      <w:pPr>
        <w:pStyle w:val="ListBullet"/>
      </w:pPr>
      <w:r>
        <w:t>Prieš važiavimą patikrinti asmenį, įrašyti konkretų keturratį, fiksuoti pradinę būklę ir instruktažą. Grąžinant kartoti apžiūrą. Kito vairuotojo vardą įrašęs užsakovas savaime nepasirašo jo vardu.</w:t>
      </w:r>
    </w:p>
    <w:p>
      <w:pPr>
        <w:pStyle w:val="ListBullet"/>
      </w:pPr>
      <w:r>
        <w:t>Sutikimo ir mokėjimo duomenis tikrinti serverio pusėje. Pateiktas vieno HTML failo maketas to nedaro: jis negali patikimai registruoti sudarytos sutarties, atlikti tikro mokėjimo ar užtikrinti archyvo. Jo atsisiunčiama kopija aiškiai pažymėta kaip nepasirašytas projektas.</w:t>
      </w:r>
    </w:p>
    <w:p>
      <w:pPr>
        <w:pStyle w:val="Heading1"/>
      </w:pPr>
      <w:r>
        <w:t>4 Kaip rinkti įrodymus dėl žalos ir apsvaigimo</w:t>
      </w:r>
    </w:p>
    <w:p>
      <w:r>
        <w:t>Žalai: vienodų kampų nuotraukos prieš ir po, keturračio ID, perdavimo bei grąžinimo laikai, abiejų šalių pastabos, pažeidimo ir kaltės aplinkybės, ryšys su remontu, nepriklausoma sąmata, nusidėvėjimas, draudiko atlyginimai ir sąskaitos. Nepripažinti pasirašymo atsisakymo automatiniu kaltės pripažinimu. [1,4,5]</w:t>
      </w:r>
    </w:p>
    <w:p>
      <w:r>
        <w:t>Apsvaigimui: atskirai įrodyti, kas faktiškai vairavo, kada ir kokiu keturračiu; užrašyti konkrečius požymius, liudytojus, teisėtai gautų įrašų nuorodas ir policijos įvykio numerį. Darbuotojo nuomonė ar atsisakymas pūsti savaime nėra įrodytas apsvaigimas. Nevartoti grasinimo „sumokėk arba kviesime policiją“. Esant pavojui pirmiausia sustabdyti važiavimą ir kreiptis pagalbos, o civilinį reikalavimą spręsti atskirai.</w:t>
      </w:r>
    </w:p>
    <w:p>
      <w:r>
        <w:t>Nuotraukoms, žurnalams ir ypač sveikatos ar tyrimų duomenims taikomas BDAR. Sutarties sutikimas nėra blanketinis leidimas rinkti diagnozes, kopijuoti dokumentus ar viešinti incidentus. Nustatyti BDAR 6 straipsnio pagrindą, o ypatingų duomenų atveju ir tinkamą 9 straipsnio išimtį; teisinių reikalavimų išimtis nėra leidimas masiškai profilaktiškai testuoti visus klientus. Pateikti atskirą privatumo pranešimą ir saugojimo terminus. [8]</w:t>
      </w:r>
    </w:p>
    <w:p>
      <w:pPr>
        <w:pStyle w:val="Heading1"/>
      </w:pPr>
      <w:r>
        <w:t>5 Atšaukimas ir ginčų terminai</w:t>
      </w:r>
    </w:p>
    <w:p>
      <w:r>
        <w:t>Sutartyje sąmoningai pasirinkta visiems interneto užsakymams suteikti 14 dienų atsisakymo galimybę, net jei konkrečiai paslaugai būtų taikoma išimtis. Tai papildomas komercinis įsipareigojimas. Atsisakyti šio modelio galima tik prieš skelbiant sutartį tiksliai įvertinus paslaugos kvalifikaciją ir suderinus visą užsakymo eigą. Konkrečios datos laisvalaikio paslaugoms ir automobilių nuomai taikoma išimtis nereiškia, kad bet kokia savarankiška keturračio nuoma automatiškai į ją patenka. [9]</w:t>
      </w:r>
    </w:p>
    <w:p>
      <w:r>
        <w:t>Nuo 2026 m. birželio 19 d. aktuali internetinė atsisakymo funkcija sutartims, kurioms galioja atsisakymo teisė. Makete yra tik jos demonstracija. Veikiančioje versijoje būtina gauti pareiškimą ir nedelsiant pateikti jo gavimo patvirtinimą patvarioje laikmenoje. [10]</w:t>
      </w:r>
    </w:p>
    <w:p>
      <w:r>
        <w:t>Į vartotojo pretenziją paprastai reikia motyvuotai atsakyti per 14 dienų; pateikta VVTAT ir VTIS kryptis. Sutartyje negalima užrakinti vartotojo vien Nuomotojo buveinės teisme. Netesybų išieškojimui CK 1.125 numato šešių mėnesių, žalos atlyginimui paprastai trejų metų senatį. Konkrečią pradžią, sustabdymą, nutraukimą ir tinkamą reikalavimo kvalifikavimą reikia vertinti individualiai. [1,11,12]</w:t>
      </w:r>
    </w:p>
    <w:p>
      <w:pPr>
        <w:pStyle w:val="Heading1"/>
      </w:pPr>
      <w:r>
        <w:t>Šaltiniai ir patikros ribos</w:t>
      </w:r>
    </w:p>
    <w:p>
      <w:r>
        <w:t>Toliau pateikti naudoti teisės ir institucijų šaltiniai. Tai tikslinė sutarčių ir vartotojų teisių patikra, ne individuali advokato išvada ar konkretaus ginčo praktikos garantija. CK 6.228⁸ Infolex kortelėje buvo rodoma ir būsima 2026-09-27 straipsnio data, todėl užsakymo mygtuko bei patvarios kopijos išvados papildomai remiamos seniau galiojančiu Direktyvos 2011/83/ES 8 straipsniu. Nauji 2026 m. atsisakymo reikalavimai tikrinti pagal VVTAT pranešimą.</w:t>
      </w:r>
    </w:p>
    <w:p>
      <w:pPr>
        <w:spacing w:after="100"/>
      </w:pPr>
      <w:hyperlink r:id="rId10">
        <w:r>
          <w:rPr>
            <w:color w:val="215D83"/>
          </w:rPr>
          <w:t>[1] CK 6.228⁴ vartojimo sutarčių nesąžiningos sąlygos</w:t>
        </w:r>
      </w:hyperlink>
    </w:p>
    <w:p>
      <w:pPr>
        <w:spacing w:after="100"/>
      </w:pPr>
      <w:hyperlink r:id="rId11">
        <w:r>
          <w:rPr>
            <w:color w:val="215D83"/>
          </w:rPr>
          <w:t>[2] CK 6.73 netesybų įskaitymas ir sumažinimas</w:t>
        </w:r>
      </w:hyperlink>
    </w:p>
    <w:p>
      <w:pPr>
        <w:spacing w:after="100"/>
      </w:pPr>
      <w:hyperlink r:id="rId12">
        <w:r>
          <w:rPr>
            <w:color w:val="215D83"/>
          </w:rPr>
          <w:t>[3] CK 6.72 susitarimo dėl netesybų forma</w:t>
        </w:r>
      </w:hyperlink>
    </w:p>
    <w:p>
      <w:pPr>
        <w:spacing w:after="100"/>
      </w:pPr>
      <w:hyperlink r:id="rId13">
        <w:r>
          <w:rPr>
            <w:color w:val="215D83"/>
          </w:rPr>
          <w:t>[4] VVTAT nesąžiningų sutarčių sąlygų paaiškinimai</w:t>
        </w:r>
      </w:hyperlink>
    </w:p>
    <w:p>
      <w:pPr>
        <w:spacing w:after="100"/>
      </w:pPr>
      <w:hyperlink r:id="rId14">
        <w:r>
          <w:rPr>
            <w:color w:val="215D83"/>
          </w:rPr>
          <w:t>[5] CK 6.252 civilinės atsakomybės ribojimo draudimai</w:t>
        </w:r>
      </w:hyperlink>
    </w:p>
    <w:p>
      <w:pPr>
        <w:spacing w:after="100"/>
      </w:pPr>
      <w:hyperlink r:id="rId15">
        <w:r>
          <w:rPr>
            <w:color w:val="215D83"/>
          </w:rPr>
          <w:t>[6] eIDAS reglamentas 910/2014 25 straipsnis</w:t>
        </w:r>
      </w:hyperlink>
    </w:p>
    <w:p>
      <w:pPr>
        <w:spacing w:after="100"/>
      </w:pPr>
      <w:hyperlink r:id="rId16">
        <w:r>
          <w:rPr>
            <w:color w:val="215D83"/>
          </w:rPr>
          <w:t>[7] Direktyva 2011/83/ES 6 8 ir 22 straipsniai</w:t>
        </w:r>
      </w:hyperlink>
    </w:p>
    <w:p>
      <w:pPr>
        <w:spacing w:after="100"/>
      </w:pPr>
      <w:hyperlink r:id="rId17">
        <w:r>
          <w:rPr>
            <w:color w:val="215D83"/>
          </w:rPr>
          <w:t>[8] BDAR reglamentas 2016/679 5 6 9 ir 13 straipsniai</w:t>
        </w:r>
      </w:hyperlink>
    </w:p>
    <w:p>
      <w:pPr>
        <w:spacing w:after="100"/>
      </w:pPr>
      <w:hyperlink r:id="rId18">
        <w:r>
          <w:rPr>
            <w:color w:val="215D83"/>
          </w:rPr>
          <w:t>[9] CK 6.228¹⁰ teisė atsisakyti ir jos išimtys</w:t>
        </w:r>
      </w:hyperlink>
    </w:p>
    <w:p>
      <w:pPr>
        <w:spacing w:after="100"/>
      </w:pPr>
      <w:hyperlink r:id="rId19">
        <w:r>
          <w:rPr>
            <w:color w:val="215D83"/>
          </w:rPr>
          <w:t>[10] VVTAT 2026 m. pranešimas dėl sutarties atsisakymo mygtuko</w:t>
        </w:r>
      </w:hyperlink>
    </w:p>
    <w:p>
      <w:pPr>
        <w:spacing w:after="100"/>
      </w:pPr>
      <w:hyperlink r:id="rId20">
        <w:r>
          <w:rPr>
            <w:color w:val="215D83"/>
          </w:rPr>
          <w:t>[11] VVTAT vartotojo pretenzijos ir 14 dienų atsakymas</w:t>
        </w:r>
      </w:hyperlink>
    </w:p>
    <w:p>
      <w:pPr>
        <w:spacing w:after="100"/>
      </w:pPr>
      <w:hyperlink r:id="rId21">
        <w:r>
          <w:rPr>
            <w:color w:val="215D83"/>
          </w:rPr>
          <w:t>[12] CK 1.125 ieškinio senaties terminai</w:t>
        </w:r>
      </w:hyperlink>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WildRide  •  WR-2026-09-12-01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infolex.lt/ta/12755:str6.228-4" TargetMode="External"/><Relationship Id="rId11" Type="http://schemas.openxmlformats.org/officeDocument/2006/relationships/hyperlink" Target="https://www.infolex.lt/ta/12755:str6.73" TargetMode="External"/><Relationship Id="rId12" Type="http://schemas.openxmlformats.org/officeDocument/2006/relationships/hyperlink" Target="https://www.infolex.lt/ta/12755:str6.72" TargetMode="External"/><Relationship Id="rId13" Type="http://schemas.openxmlformats.org/officeDocument/2006/relationships/hyperlink" Target="https://vvtat.lrv.lt/lt/veiklos-sritys-54/nesaziningos-sutarciu-salygos-196/" TargetMode="External"/><Relationship Id="rId14" Type="http://schemas.openxmlformats.org/officeDocument/2006/relationships/hyperlink" Target="https://www.infolex.lt/ta/12755:str6.252" TargetMode="External"/><Relationship Id="rId15" Type="http://schemas.openxmlformats.org/officeDocument/2006/relationships/hyperlink" Target="https://eur-lex.europa.eu/eli/reg/2014/910/oj/eng" TargetMode="External"/><Relationship Id="rId16" Type="http://schemas.openxmlformats.org/officeDocument/2006/relationships/hyperlink" Target="https://eur-lex.europa.eu/eli/dir/2011/83/oj/eng" TargetMode="External"/><Relationship Id="rId17" Type="http://schemas.openxmlformats.org/officeDocument/2006/relationships/hyperlink" Target="https://eur-lex.europa.eu/eli/reg/2016/679/oj/eng" TargetMode="External"/><Relationship Id="rId18" Type="http://schemas.openxmlformats.org/officeDocument/2006/relationships/hyperlink" Target="https://www.temidy.lt/kodeksai/civilinis-kodeksas/6-228-10-straipsnis" TargetMode="External"/><Relationship Id="rId19" Type="http://schemas.openxmlformats.org/officeDocument/2006/relationships/hyperlink" Target="https://vvtat.lrv.lt/lt/naujienos-ir-pranesimai-ziniasklaidai-377/vvtat-primena-elektronineje-prekyboje-turi-atsirasti-sutarties-atsisakymo-mygtukas-SCA/" TargetMode="External"/><Relationship Id="rId20" Type="http://schemas.openxmlformats.org/officeDocument/2006/relationships/hyperlink" Target="https://vvtat.lrv.lt/lt/kaip-pateikti-prasyma/" TargetMode="External"/><Relationship Id="rId21" Type="http://schemas.openxmlformats.org/officeDocument/2006/relationships/hyperlink" Target="https://www.infolex.lt/ta/81200:str1.1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WildRide sutarties teisinė ir įgyvendinimo atmintinė</dc:title>
  <dc:subject/>
  <dc:creator>WildRide</dc:creator>
  <cp:keywords/>
  <dc:description>generated by python-docx</dc:description>
  <cp:lastModifiedBy/>
  <cp:revision>1</cp:revision>
  <dcterms:created xsi:type="dcterms:W3CDTF">2013-12-23T23:15:00Z</dcterms:created>
  <dcterms:modified xsi:type="dcterms:W3CDTF">2013-12-23T23:15:00Z</dcterms:modified>
  <cp:category/>
</cp:coreProperties>
</file>